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lang w:val="ru-RU"/>
        </w:rPr>
      </w:pPr>
      <w:r>
        <w:rPr>
          <w:lang w:val="ru-RU"/>
        </w:rPr>
        <w:t xml:space="preserve">Приложение № </w:t>
      </w:r>
      <w:r>
        <w:rPr>
          <w:lang w:val="ru-RU"/>
        </w:rPr>
        <w:t>5</w:t>
      </w:r>
    </w:p>
    <w:p>
      <w:pPr>
        <w:pStyle w:val="Normal"/>
        <w:jc w:val="right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</w:t>
      </w:r>
      <w:r>
        <w:rPr>
          <w:lang w:val="ru-RU"/>
        </w:rPr>
        <w:t xml:space="preserve">к Договору подряда </w:t>
      </w:r>
    </w:p>
    <w:p>
      <w:pPr>
        <w:pStyle w:val="Normal"/>
        <w:jc w:val="right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</w:t>
      </w:r>
      <w:r>
        <w:rPr>
          <w:lang w:val="ru-RU"/>
        </w:rPr>
        <w:t>от «____» __________ 2026г. № ____</w:t>
      </w:r>
    </w:p>
    <w:p>
      <w:pPr>
        <w:pStyle w:val="Normal"/>
        <w:tabs>
          <w:tab w:val="clear" w:pos="708"/>
          <w:tab w:val="left" w:pos="993" w:leader="none"/>
        </w:tabs>
        <w:jc w:val="right"/>
        <w:rPr>
          <w:lang w:val="ru-RU"/>
        </w:rPr>
      </w:pPr>
      <w:r>
        <w:rPr>
          <w:lang w:val="ru-RU"/>
        </w:rPr>
        <w:t xml:space="preserve"> </w:t>
      </w:r>
    </w:p>
    <w:p>
      <w:pPr>
        <w:pStyle w:val="Normal"/>
        <w:rPr>
          <w:b/>
          <w:lang w:val="ru-RU"/>
        </w:rPr>
      </w:pPr>
      <w:r>
        <w:rPr>
          <w:b/>
          <w:lang w:val="ru-RU"/>
        </w:rPr>
      </w:r>
    </w:p>
    <w:p>
      <w:pPr>
        <w:pStyle w:val="Normal"/>
        <w:jc w:val="center"/>
        <w:rPr>
          <w:lang w:val="ru-RU"/>
        </w:rPr>
      </w:pPr>
      <w:r>
        <w:rPr>
          <w:lang w:val="ru-RU"/>
        </w:rPr>
        <w:t xml:space="preserve">Основные положения </w:t>
      </w:r>
    </w:p>
    <w:p>
      <w:pPr>
        <w:pStyle w:val="Normal"/>
        <w:jc w:val="center"/>
        <w:rPr>
          <w:lang w:val="ru-RU"/>
        </w:rPr>
      </w:pPr>
      <w:r>
        <w:rPr>
          <w:lang w:val="ru-RU"/>
        </w:rPr>
        <w:t xml:space="preserve">Политики Группы РусГидро области охраны труда </w:t>
      </w:r>
    </w:p>
    <w:p>
      <w:pPr>
        <w:pStyle w:val="Normal"/>
        <w:jc w:val="center"/>
        <w:rPr>
          <w:lang w:val="ru-RU"/>
        </w:rPr>
      </w:pPr>
      <w:r>
        <w:rPr>
          <w:lang w:val="ru-RU"/>
        </w:rPr>
      </w:r>
    </w:p>
    <w:p>
      <w:pPr>
        <w:pStyle w:val="ListParagraph"/>
        <w:tabs>
          <w:tab w:val="clear" w:pos="708"/>
          <w:tab w:val="left" w:pos="567" w:leader="none"/>
        </w:tabs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>Публичное акционерное общество «Федеральная гидрогенерирующая компания – РусГидро» (ПАО «РусГидро») – крупнейшее российское предприятие в области энергетики, первая в стране и третья в мире компания в отрасли гидроэнергетики.</w:t>
      </w:r>
    </w:p>
    <w:p>
      <w:pPr>
        <w:pStyle w:val="ListParagraph"/>
        <w:tabs>
          <w:tab w:val="clear" w:pos="708"/>
          <w:tab w:val="left" w:pos="567" w:leader="none"/>
        </w:tabs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>Группа РусГидро объединяет компании, осуществляющие:</w:t>
      </w:r>
    </w:p>
    <w:p>
      <w:pPr>
        <w:pStyle w:val="Normal"/>
        <w:numPr>
          <w:ilvl w:val="0"/>
          <w:numId w:val="2"/>
        </w:numPr>
        <w:ind w:left="0" w:firstLine="709"/>
        <w:jc w:val="both"/>
        <w:rPr>
          <w:rFonts w:eastAsia="Batang"/>
          <w:lang w:val="ru-RU" w:eastAsia="ko-KR"/>
        </w:rPr>
      </w:pPr>
      <w:r>
        <w:rPr>
          <w:rFonts w:eastAsia="Batang"/>
          <w:lang w:val="ru-RU" w:eastAsia="ko-KR"/>
        </w:rPr>
        <w:t xml:space="preserve"> </w:t>
      </w:r>
      <w:r>
        <w:rPr>
          <w:rFonts w:eastAsia="Batang"/>
          <w:lang w:val="ru-RU" w:eastAsia="ko-KR"/>
        </w:rPr>
        <w:t xml:space="preserve">производство, передачу, распределение и сбыт </w:t>
      </w:r>
      <w:r>
        <w:rPr>
          <w:lang w:val="ru-RU"/>
        </w:rPr>
        <w:t>электрической</w:t>
      </w:r>
      <w:r>
        <w:rPr>
          <w:rFonts w:eastAsia="Batang"/>
          <w:lang w:val="ru-RU" w:eastAsia="ko-KR"/>
        </w:rPr>
        <w:t xml:space="preserve"> и</w:t>
      </w:r>
      <w:r>
        <w:rPr>
          <w:rFonts w:eastAsia="Batang"/>
          <w:lang w:eastAsia="ko-KR"/>
        </w:rPr>
        <w:t> </w:t>
      </w:r>
      <w:r>
        <w:rPr>
          <w:rFonts w:eastAsia="Batang"/>
          <w:lang w:val="ru-RU" w:eastAsia="ko-KR"/>
        </w:rPr>
        <w:t xml:space="preserve">тепловой энергии; </w:t>
      </w:r>
    </w:p>
    <w:p>
      <w:pPr>
        <w:pStyle w:val="Normal"/>
        <w:numPr>
          <w:ilvl w:val="0"/>
          <w:numId w:val="2"/>
        </w:numPr>
        <w:ind w:left="0" w:firstLine="709"/>
        <w:jc w:val="both"/>
        <w:rPr>
          <w:rFonts w:eastAsia="Batang"/>
          <w:lang w:val="ru-RU" w:eastAsia="ko-KR"/>
        </w:rPr>
      </w:pPr>
      <w:r>
        <w:rPr>
          <w:rFonts w:eastAsia="Batang"/>
          <w:lang w:val="ru-RU" w:eastAsia="ko-KR"/>
        </w:rPr>
        <w:t>проектирование, строительство, ремонтно-сервисное обслуживание, техническое перевооружение и реконструкцию энергетических объектов;</w:t>
      </w:r>
    </w:p>
    <w:p>
      <w:pPr>
        <w:pStyle w:val="Normal"/>
        <w:numPr>
          <w:ilvl w:val="0"/>
          <w:numId w:val="2"/>
        </w:numPr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>научную деятельность.</w:t>
      </w:r>
    </w:p>
    <w:p>
      <w:pPr>
        <w:pStyle w:val="ListParagraph"/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Политика </w:t>
      </w:r>
      <w:r>
        <w:rPr/>
        <w:t>Группы РусГидро области охраны труда (далее – Политика)</w:t>
      </w:r>
      <w:r>
        <w:rPr>
          <w:rFonts w:eastAsia="Batang"/>
          <w:lang w:eastAsia="ko-KR"/>
        </w:rPr>
        <w:t xml:space="preserve"> распространяется на все управленческие и технологические процессы, производственные и технологические комплексы объектов Группы РусГидро.</w:t>
      </w:r>
    </w:p>
    <w:p>
      <w:pPr>
        <w:pStyle w:val="ListParagraph"/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Политика является обязательной для исполнения всеми структурными подразделениями Общества, его филиалами и подконтрольными организациями, а также третьими лицами, на которых могут распространяться производственные факторы объектов Группы РусГидро. </w:t>
      </w:r>
    </w:p>
    <w:p>
      <w:pPr>
        <w:pStyle w:val="ListParagraph"/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>Руководство Группы РусГидро гарантирует выполнение им обязательств по соблюдению государственных нормативных требований охраны труда и добровольно принятых на себя обязательств, указанных в Политике.</w:t>
      </w:r>
    </w:p>
    <w:p>
      <w:pPr>
        <w:pStyle w:val="ListParagraph"/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</w:r>
    </w:p>
    <w:p>
      <w:pPr>
        <w:pStyle w:val="Normal"/>
        <w:jc w:val="center"/>
        <w:rPr>
          <w:lang w:val="ru-RU"/>
        </w:rPr>
      </w:pPr>
      <w:r>
        <w:rPr>
          <w:lang w:val="ru-RU"/>
        </w:rPr>
        <w:t xml:space="preserve">ЦЕЛИ В ОБЛАСТИ ОХРАНЫ ТРУДА </w:t>
      </w:r>
    </w:p>
    <w:p>
      <w:pPr>
        <w:pStyle w:val="Normal"/>
        <w:ind w:firstLine="709"/>
        <w:rPr>
          <w:lang w:val="ru-RU"/>
        </w:rPr>
      </w:pPr>
      <w:r>
        <w:rPr>
          <w:lang w:val="ru-RU"/>
        </w:rPr>
        <w:t>Основной целью в области охраны труда является сохранение жизни и здоровья работников в процессе трудовой деятельности посредством:</w:t>
      </w:r>
    </w:p>
    <w:p>
      <w:pPr>
        <w:pStyle w:val="Normal"/>
        <w:numPr>
          <w:ilvl w:val="0"/>
          <w:numId w:val="6"/>
        </w:numPr>
        <w:ind w:left="0" w:firstLine="709"/>
        <w:jc w:val="both"/>
        <w:rPr>
          <w:lang w:val="ru-RU"/>
        </w:rPr>
      </w:pPr>
      <w:r>
        <w:rPr>
          <w:lang w:val="ru-RU"/>
        </w:rPr>
        <w:t>предупреждения производственного травматизма, профессиональных заболеваний;</w:t>
      </w:r>
    </w:p>
    <w:p>
      <w:pPr>
        <w:pStyle w:val="Normal"/>
        <w:numPr>
          <w:ilvl w:val="0"/>
          <w:numId w:val="6"/>
        </w:numPr>
        <w:ind w:left="0" w:firstLine="709"/>
        <w:jc w:val="both"/>
        <w:rPr>
          <w:lang w:val="ru-RU"/>
        </w:rPr>
      </w:pPr>
      <w:r>
        <w:rPr>
          <w:lang w:val="ru-RU"/>
        </w:rPr>
        <w:t>обеспечения выполнения соответствующих нормативных требований охраны труда;</w:t>
      </w:r>
    </w:p>
    <w:p>
      <w:pPr>
        <w:pStyle w:val="Normal"/>
        <w:numPr>
          <w:ilvl w:val="0"/>
          <w:numId w:val="6"/>
        </w:numPr>
        <w:ind w:left="0" w:firstLine="709"/>
        <w:jc w:val="both"/>
        <w:rPr>
          <w:lang w:val="ru-RU"/>
        </w:rPr>
      </w:pPr>
      <w:r>
        <w:rPr>
          <w:color w:val="000000"/>
          <w:lang w:val="ru-RU"/>
        </w:rPr>
        <w:t xml:space="preserve">оценки, управления и </w:t>
      </w:r>
      <w:r>
        <w:rPr>
          <w:lang w:val="ru-RU"/>
        </w:rPr>
        <w:t xml:space="preserve">снижения профессиональных рисков. </w:t>
      </w:r>
    </w:p>
    <w:p>
      <w:pPr>
        <w:pStyle w:val="Normal"/>
        <w:ind w:firstLine="709"/>
        <w:rPr>
          <w:rFonts w:eastAsia="Batang"/>
          <w:lang w:val="ru-RU" w:eastAsia="ko-KR"/>
        </w:rPr>
      </w:pPr>
      <w:r>
        <w:rPr>
          <w:rFonts w:eastAsia="Batang"/>
          <w:lang w:val="ru-RU" w:eastAsia="ko-KR"/>
        </w:rPr>
        <w:t>На всех объектах Группы РусГидро в ключевых показателях эффективности должны быть установлены измеримые цели в области охраны труда в отношении производственного травматизма в составе ключевых показателей эффективности.</w:t>
      </w:r>
    </w:p>
    <w:p>
      <w:pPr>
        <w:pStyle w:val="Normal"/>
        <w:ind w:firstLine="709"/>
        <w:rPr>
          <w:rFonts w:eastAsia="Batang"/>
          <w:lang w:val="ru-RU" w:eastAsia="ko-KR"/>
        </w:rPr>
      </w:pPr>
      <w:r>
        <w:rPr>
          <w:rFonts w:eastAsia="Batang"/>
          <w:lang w:val="ru-RU" w:eastAsia="ko-KR"/>
        </w:rPr>
      </w:r>
    </w:p>
    <w:p>
      <w:pPr>
        <w:pStyle w:val="Normal"/>
        <w:ind w:firstLine="709"/>
        <w:rPr>
          <w:rFonts w:eastAsia="Batang"/>
          <w:lang w:val="ru-RU" w:eastAsia="ko-KR"/>
        </w:rPr>
      </w:pPr>
      <w:r>
        <w:rPr>
          <w:rFonts w:eastAsia="Batang"/>
          <w:lang w:val="ru-RU" w:eastAsia="ko-KR"/>
        </w:rPr>
      </w:r>
    </w:p>
    <w:p>
      <w:pPr>
        <w:pStyle w:val="Normal"/>
        <w:ind w:firstLine="709"/>
        <w:rPr>
          <w:rFonts w:eastAsia="Batang"/>
          <w:lang w:val="ru-RU" w:eastAsia="ko-KR"/>
        </w:rPr>
      </w:pPr>
      <w:r>
        <w:rPr>
          <w:rFonts w:eastAsia="Batang"/>
          <w:lang w:val="ru-RU" w:eastAsia="ko-KR"/>
        </w:rPr>
      </w:r>
    </w:p>
    <w:p>
      <w:pPr>
        <w:pStyle w:val="Normal"/>
        <w:jc w:val="center"/>
        <w:rPr>
          <w:lang w:val="ru-RU"/>
        </w:rPr>
      </w:pPr>
      <w:r>
        <w:rPr>
          <w:lang w:val="ru-RU"/>
        </w:rPr>
        <w:t>ОСНОВНЫЕ ПРИНЦИПЫ В ОБЛАСТИ ОХРАНЫ ТРУДА</w:t>
      </w:r>
    </w:p>
    <w:p>
      <w:pPr>
        <w:pStyle w:val="ListParagraph"/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>Политика направлена на обеспечение исполнения принципов:</w:t>
      </w:r>
    </w:p>
    <w:p>
      <w:pPr>
        <w:pStyle w:val="Normal"/>
        <w:numPr>
          <w:ilvl w:val="0"/>
          <w:numId w:val="3"/>
        </w:numPr>
        <w:ind w:left="0" w:firstLine="709"/>
        <w:jc w:val="both"/>
        <w:rPr>
          <w:rFonts w:eastAsia="Batang"/>
          <w:lang w:val="ru-RU" w:eastAsia="ko-KR"/>
        </w:rPr>
      </w:pPr>
      <w:r>
        <w:rPr>
          <w:rFonts w:eastAsia="Batang"/>
          <w:lang w:val="ru-RU" w:eastAsia="ko-KR"/>
        </w:rPr>
        <w:t>приоритета сохранения жизни и здоровья работников перед результатами производственной деятельности;</w:t>
      </w:r>
    </w:p>
    <w:p>
      <w:pPr>
        <w:pStyle w:val="Normal"/>
        <w:numPr>
          <w:ilvl w:val="0"/>
          <w:numId w:val="3"/>
        </w:numPr>
        <w:ind w:left="0" w:firstLine="709"/>
        <w:jc w:val="both"/>
        <w:rPr>
          <w:rFonts w:eastAsia="Batang"/>
          <w:lang w:val="ru-RU" w:eastAsia="ko-KR"/>
        </w:rPr>
      </w:pPr>
      <w:r>
        <w:rPr>
          <w:rFonts w:eastAsia="Batang"/>
          <w:lang w:val="ru-RU" w:eastAsia="ko-KR"/>
        </w:rPr>
        <w:t>лидерства руководства всех уровней управления в вопросах обеспечения безопасности труда и выполнения требований охраны труда;</w:t>
      </w:r>
    </w:p>
    <w:p>
      <w:pPr>
        <w:pStyle w:val="Normal"/>
        <w:numPr>
          <w:ilvl w:val="0"/>
          <w:numId w:val="3"/>
        </w:numPr>
        <w:ind w:left="0" w:firstLine="709"/>
        <w:jc w:val="both"/>
        <w:rPr>
          <w:i/>
          <w:i/>
          <w:lang w:val="ru-RU"/>
        </w:rPr>
      </w:pPr>
      <w:r>
        <w:rPr>
          <w:rFonts w:eastAsia="Batang"/>
          <w:lang w:val="ru-RU" w:eastAsia="ko-KR"/>
        </w:rPr>
        <w:t>нулевого порога терпимости к нарушениям требований производственной безопасности и правил охраны труда, а также к низкому уровню ответственности и неисполнения работником должностных обязанностей</w:t>
      </w:r>
      <w:r>
        <w:rPr>
          <w:lang w:val="ru-RU"/>
        </w:rPr>
        <w:t>;</w:t>
      </w:r>
    </w:p>
    <w:p>
      <w:pPr>
        <w:pStyle w:val="Normal"/>
        <w:numPr>
          <w:ilvl w:val="0"/>
          <w:numId w:val="3"/>
        </w:numPr>
        <w:ind w:left="0" w:firstLine="709"/>
        <w:jc w:val="both"/>
        <w:rPr>
          <w:rFonts w:eastAsia="Batang"/>
          <w:lang w:val="ru-RU" w:eastAsia="ko-KR"/>
        </w:rPr>
      </w:pPr>
      <w:r>
        <w:rPr>
          <w:rFonts w:eastAsia="Batang"/>
          <w:lang w:val="ru-RU" w:eastAsia="ko-KR"/>
        </w:rPr>
        <w:t>приоритета превентивных мер по отношению к реактивным мерам;</w:t>
      </w:r>
    </w:p>
    <w:p>
      <w:pPr>
        <w:pStyle w:val="Normal"/>
        <w:numPr>
          <w:ilvl w:val="0"/>
          <w:numId w:val="3"/>
        </w:numPr>
        <w:ind w:left="0" w:firstLine="709"/>
        <w:jc w:val="both"/>
        <w:rPr>
          <w:rFonts w:eastAsia="Batang"/>
          <w:lang w:val="ru-RU" w:eastAsia="ko-KR"/>
        </w:rPr>
      </w:pPr>
      <w:r>
        <w:rPr>
          <w:rFonts w:eastAsia="Batang"/>
          <w:lang w:val="ru-RU" w:eastAsia="ko-KR"/>
        </w:rPr>
        <w:t>разграничения ответственности и функций субъектов управления охраной труда на всех уровнях управления;</w:t>
      </w:r>
    </w:p>
    <w:p>
      <w:pPr>
        <w:pStyle w:val="Normal"/>
        <w:numPr>
          <w:ilvl w:val="0"/>
          <w:numId w:val="3"/>
        </w:numPr>
        <w:ind w:left="0" w:firstLine="709"/>
        <w:jc w:val="both"/>
        <w:rPr>
          <w:rFonts w:eastAsia="Batang"/>
          <w:lang w:val="ru-RU" w:eastAsia="ko-KR"/>
        </w:rPr>
      </w:pPr>
      <w:r>
        <w:rPr>
          <w:rFonts w:eastAsia="Batang"/>
          <w:lang w:val="ru-RU" w:eastAsia="ko-KR"/>
        </w:rPr>
        <w:t>постоянного улучшения деятельности в области охраны труда;</w:t>
      </w:r>
    </w:p>
    <w:p>
      <w:pPr>
        <w:pStyle w:val="Normal"/>
        <w:numPr>
          <w:ilvl w:val="0"/>
          <w:numId w:val="3"/>
        </w:numPr>
        <w:ind w:left="0" w:firstLine="709"/>
        <w:jc w:val="both"/>
        <w:rPr>
          <w:rFonts w:eastAsia="Batang"/>
          <w:lang w:val="ru-RU" w:eastAsia="ko-KR"/>
        </w:rPr>
      </w:pPr>
      <w:r>
        <w:rPr>
          <w:rFonts w:eastAsia="Batang"/>
          <w:lang w:val="ru-RU" w:eastAsia="ko-KR"/>
        </w:rPr>
        <w:t>привлечение работников к участию в управлении охраной труда;</w:t>
      </w:r>
    </w:p>
    <w:p>
      <w:pPr>
        <w:pStyle w:val="Normal"/>
        <w:numPr>
          <w:ilvl w:val="0"/>
          <w:numId w:val="3"/>
        </w:numPr>
        <w:ind w:left="0" w:firstLine="709"/>
        <w:jc w:val="both"/>
        <w:rPr>
          <w:rFonts w:eastAsia="Batang"/>
          <w:lang w:val="ru-RU" w:eastAsia="ko-KR"/>
        </w:rPr>
      </w:pPr>
      <w:r>
        <w:rPr>
          <w:rFonts w:eastAsia="Batang"/>
          <w:lang w:val="ru-RU" w:eastAsia="ko-KR"/>
        </w:rPr>
        <w:t>обеспечения безопасности персонала на основе управления рисками, связанными с выполняемой работой;</w:t>
      </w:r>
    </w:p>
    <w:p>
      <w:pPr>
        <w:pStyle w:val="Normal"/>
        <w:numPr>
          <w:ilvl w:val="0"/>
          <w:numId w:val="3"/>
        </w:numPr>
        <w:ind w:left="0" w:firstLine="709"/>
        <w:jc w:val="both"/>
        <w:rPr>
          <w:rFonts w:eastAsia="Batang"/>
          <w:lang w:val="ru-RU" w:eastAsia="ko-KR"/>
        </w:rPr>
      </w:pPr>
      <w:r>
        <w:rPr>
          <w:rFonts w:eastAsia="Batang"/>
          <w:lang w:val="ru-RU" w:eastAsia="ko-KR"/>
        </w:rPr>
        <w:t>информационной открытости деятельности Группы РусГидро в</w:t>
      </w:r>
      <w:r>
        <w:rPr>
          <w:rFonts w:eastAsia="Batang"/>
          <w:lang w:eastAsia="ko-KR"/>
        </w:rPr>
        <w:t> </w:t>
      </w:r>
      <w:r>
        <w:rPr>
          <w:rFonts w:eastAsia="Batang"/>
          <w:lang w:val="ru-RU" w:eastAsia="ko-KR"/>
        </w:rPr>
        <w:t>области охраны труда;</w:t>
      </w:r>
    </w:p>
    <w:p>
      <w:pPr>
        <w:pStyle w:val="Normal"/>
        <w:numPr>
          <w:ilvl w:val="0"/>
          <w:numId w:val="3"/>
        </w:numPr>
        <w:ind w:left="0" w:firstLine="709"/>
        <w:jc w:val="both"/>
        <w:rPr>
          <w:rFonts w:eastAsia="Batang"/>
          <w:lang w:val="ru-RU" w:eastAsia="ko-KR"/>
        </w:rPr>
      </w:pPr>
      <w:r>
        <w:rPr>
          <w:rFonts w:eastAsia="Batang"/>
          <w:lang w:val="ru-RU" w:eastAsia="ko-KR"/>
        </w:rPr>
        <w:t>неукоснительного соблюдения нормативных требований охраны труда.</w:t>
      </w:r>
    </w:p>
    <w:p>
      <w:pPr>
        <w:pStyle w:val="Normal"/>
        <w:tabs>
          <w:tab w:val="clear" w:pos="708"/>
          <w:tab w:val="left" w:pos="567" w:leader="none"/>
        </w:tabs>
        <w:ind w:left="709" w:hanging="0"/>
        <w:rPr>
          <w:rFonts w:eastAsia="Batang"/>
          <w:lang w:val="ru-RU" w:eastAsia="ko-KR"/>
        </w:rPr>
      </w:pPr>
      <w:r>
        <w:rPr>
          <w:rFonts w:eastAsia="Batang"/>
          <w:lang w:val="ru-RU" w:eastAsia="ko-KR"/>
        </w:rPr>
        <w:t xml:space="preserve"> </w:t>
      </w:r>
    </w:p>
    <w:p>
      <w:pPr>
        <w:pStyle w:val="Normal"/>
        <w:jc w:val="center"/>
        <w:rPr>
          <w:lang w:val="ru-RU"/>
        </w:rPr>
      </w:pPr>
      <w:bookmarkStart w:id="0" w:name="_Toc67497825"/>
      <w:r>
        <w:rPr>
          <w:lang w:val="ru-RU"/>
        </w:rPr>
        <w:t>ОБЯЗАТЕЛЬСТВА В ОБЛАСТИ ОХРАНЫ ТРУДА</w:t>
      </w:r>
      <w:bookmarkEnd w:id="0"/>
    </w:p>
    <w:p>
      <w:pPr>
        <w:pStyle w:val="Normal"/>
        <w:tabs>
          <w:tab w:val="clear" w:pos="708"/>
          <w:tab w:val="left" w:pos="993" w:leader="none"/>
        </w:tabs>
        <w:ind w:firstLine="709"/>
        <w:rPr>
          <w:lang w:val="ru-RU"/>
        </w:rPr>
      </w:pPr>
      <w:r>
        <w:rPr>
          <w:rFonts w:eastAsia="Batang"/>
          <w:lang w:val="ru-RU" w:eastAsia="ko-KR"/>
        </w:rPr>
        <w:t>В производственной деятельности для достижения поставленных целей в области охраны труда</w:t>
      </w:r>
      <w:r>
        <w:rPr>
          <w:lang w:val="ru-RU"/>
        </w:rPr>
        <w:t xml:space="preserve"> </w:t>
      </w:r>
      <w:r>
        <w:rPr>
          <w:rFonts w:eastAsia="Batang"/>
          <w:lang w:val="ru-RU" w:eastAsia="ko-KR"/>
        </w:rPr>
        <w:t>Группа РусГидро принимает на себя следующие обязательства</w:t>
      </w:r>
      <w:r>
        <w:rPr>
          <w:lang w:val="ru-RU"/>
        </w:rPr>
        <w:t xml:space="preserve">: </w:t>
      </w:r>
    </w:p>
    <w:p>
      <w:pPr>
        <w:pStyle w:val="ListParagraph"/>
        <w:numPr>
          <w:ilvl w:val="0"/>
          <w:numId w:val="4"/>
        </w:numPr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color w:val="000000"/>
          <w:lang w:eastAsia="ko-KR"/>
        </w:rPr>
        <w:t>обеспечение</w:t>
      </w:r>
      <w:r>
        <w:rPr>
          <w:rFonts w:eastAsia="Batang"/>
          <w:lang w:eastAsia="ko-KR"/>
        </w:rPr>
        <w:t xml:space="preserve"> постоянного функционирования и совершенствования системы управления охраной труда (далее – СУОТ);</w:t>
      </w:r>
    </w:p>
    <w:p>
      <w:pPr>
        <w:pStyle w:val="ListParagraph"/>
        <w:numPr>
          <w:ilvl w:val="0"/>
          <w:numId w:val="4"/>
        </w:numPr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>выполнение последовательных и непрерывных мер (мероприятий) по предупреждению производственного травматизма и профессиональных заболеваний, в том числе посредством управления профессиональными рисками;</w:t>
      </w:r>
    </w:p>
    <w:p>
      <w:pPr>
        <w:pStyle w:val="ListParagraph"/>
        <w:numPr>
          <w:ilvl w:val="0"/>
          <w:numId w:val="4"/>
        </w:numPr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color w:val="000000"/>
          <w:lang w:eastAsia="ko-KR"/>
        </w:rPr>
        <w:t>проведение</w:t>
      </w:r>
      <w:r>
        <w:rPr>
          <w:rFonts w:eastAsia="Batang"/>
          <w:lang w:eastAsia="ko-KR"/>
        </w:rPr>
        <w:t xml:space="preserve"> оценки и разработка мероприятий по снижению профессиональных рисков, устранение опасностей; </w:t>
      </w:r>
    </w:p>
    <w:p>
      <w:pPr>
        <w:pStyle w:val="ListParagraph"/>
        <w:numPr>
          <w:ilvl w:val="0"/>
          <w:numId w:val="4"/>
        </w:numPr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>создание условий по привлечению работников и их представительных органов к участию в управлении охраной труда, в деятельность по исключению профессиональных рисков, производственного травматизма и профессиональных заболеваний, содействие в постоянном улучшении системы управления охраной труда и реализации Политики и поощрение такого участия;</w:t>
      </w:r>
    </w:p>
    <w:p>
      <w:pPr>
        <w:pStyle w:val="ListParagraph"/>
        <w:numPr>
          <w:ilvl w:val="0"/>
          <w:numId w:val="4"/>
        </w:numPr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применение принципа «нулевой порог терпимости к нарушениям требований производственной безопасности и нормативных требований в области охраны труда», в том числе к персональной ответственности каждого работника за несоблюдение требований безопасности и допущению нарушений, способных причинить ущерб здоровью и жизни работников; </w:t>
      </w:r>
    </w:p>
    <w:p>
      <w:pPr>
        <w:pStyle w:val="ListParagraph"/>
        <w:numPr>
          <w:ilvl w:val="0"/>
          <w:numId w:val="4"/>
        </w:numPr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>обеспечение правом каждого работника на отказ от выполнения работ в случае возникновения опасности для его жизни и здоровья вследствие нарушения требований охраны труда до устранения такой опасности, за исключением случаев, предусмотренных федеральными законами;</w:t>
      </w:r>
    </w:p>
    <w:p>
      <w:pPr>
        <w:pStyle w:val="ListParagraph"/>
        <w:numPr>
          <w:ilvl w:val="0"/>
          <w:numId w:val="4"/>
        </w:numPr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>реализация системы мотивации, стимулирующей работников к безусловному соблюдению требований охраны труда;</w:t>
      </w:r>
    </w:p>
    <w:p>
      <w:pPr>
        <w:pStyle w:val="ListParagraph"/>
        <w:numPr>
          <w:ilvl w:val="0"/>
          <w:numId w:val="4"/>
        </w:numPr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>обеспечение условий по снижению и исключению ошибок персонала, приводящих к травматизму, отказам оборудования и аварийности;</w:t>
      </w:r>
    </w:p>
    <w:p>
      <w:pPr>
        <w:pStyle w:val="ListParagraph"/>
        <w:numPr>
          <w:ilvl w:val="0"/>
          <w:numId w:val="4"/>
        </w:numPr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обеспечение расследования каждого несчастного случая и профессионального заболевания, проведение анализа произошедших несчастных случаев на производстве с целью выявления истинных причин, поиска путей снижения травматизма и предотвращения подобных случаев;  </w:t>
      </w:r>
    </w:p>
    <w:p>
      <w:pPr>
        <w:pStyle w:val="ListParagraph"/>
        <w:numPr>
          <w:ilvl w:val="0"/>
          <w:numId w:val="4"/>
        </w:numPr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информирование работников и иных заинтересованных сторон, на которых могут распространятся производственные факторы объектов Группы РусГидро, об условиях труда и существующих рисках, мерах по защите от воздействия вредных и опасных производственных факторах; </w:t>
      </w:r>
    </w:p>
    <w:p>
      <w:pPr>
        <w:pStyle w:val="ListParagraph"/>
        <w:numPr>
          <w:ilvl w:val="0"/>
          <w:numId w:val="4"/>
        </w:numPr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>обеспечение функционирования единой скоординированной системы профессионального отбора и обучения кадров;</w:t>
      </w:r>
    </w:p>
    <w:p>
      <w:pPr>
        <w:pStyle w:val="ListParagraph"/>
        <w:numPr>
          <w:ilvl w:val="0"/>
          <w:numId w:val="4"/>
        </w:numPr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>повышение уровня квалификации и подготовки работников в области охраны труда и безопасного производства работ. Совершенствование системы обучения в области безопасного проведения работ. Подготовка персонала к решению разнообразных задач в области охраны труда, обучение методами организации безопасных условий труда, в соответствующих условиях;</w:t>
      </w:r>
      <w:r>
        <w:rPr/>
        <w:t xml:space="preserve"> </w:t>
      </w:r>
    </w:p>
    <w:p>
      <w:pPr>
        <w:pStyle w:val="ListParagraph"/>
        <w:numPr>
          <w:ilvl w:val="0"/>
          <w:numId w:val="4"/>
        </w:numPr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>пропаганда необходимости и значимости соблюдения требований охраны труда как фактора сохранения жизни и здоровья работников;</w:t>
      </w:r>
    </w:p>
    <w:p>
      <w:pPr>
        <w:pStyle w:val="Normal"/>
        <w:numPr>
          <w:ilvl w:val="0"/>
          <w:numId w:val="4"/>
        </w:numPr>
        <w:ind w:left="0" w:firstLine="709"/>
        <w:jc w:val="both"/>
        <w:rPr>
          <w:rFonts w:eastAsia="Batang"/>
          <w:lang w:val="ru-RU" w:eastAsia="ko-KR"/>
        </w:rPr>
      </w:pPr>
      <w:r>
        <w:rPr>
          <w:rFonts w:eastAsia="Batang"/>
          <w:lang w:val="ru-RU" w:eastAsia="ko-KR"/>
        </w:rPr>
        <w:t>обеспечение соответствия условий труда на рабочих местах требованиям охраны труда;</w:t>
      </w:r>
    </w:p>
    <w:p>
      <w:pPr>
        <w:pStyle w:val="ListParagraph"/>
        <w:numPr>
          <w:ilvl w:val="0"/>
          <w:numId w:val="4"/>
        </w:numPr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>обеспечение функционирования систем контроля за условиями труда на рабочих местах, за выполнением нормативных требований в области охраны труда, в том числе подрядными организациями, выполняющих работы на объектах Группы РусГидро;</w:t>
      </w:r>
    </w:p>
    <w:p>
      <w:pPr>
        <w:pStyle w:val="ListParagraph"/>
        <w:numPr>
          <w:ilvl w:val="0"/>
          <w:numId w:val="4"/>
        </w:numPr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>учет индивидуальных особенностей работников, в том числе посредством проектирования рабочих мест, выбора оборудования, инструментов, сырья и материалов, средств индивидуальной и коллективной защиты, построения производственных и технологических процессов;</w:t>
      </w:r>
    </w:p>
    <w:p>
      <w:pPr>
        <w:pStyle w:val="ListParagraph"/>
        <w:numPr>
          <w:ilvl w:val="0"/>
          <w:numId w:val="4"/>
        </w:numPr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>применение современных, доступных технологий в сфере обеспечения безопасности труда;</w:t>
      </w:r>
    </w:p>
    <w:p>
      <w:pPr>
        <w:pStyle w:val="ListParagraph"/>
        <w:numPr>
          <w:ilvl w:val="0"/>
          <w:numId w:val="4"/>
        </w:numPr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проведение, стимулирование и внедрение результатов научных исследований, опытно-конструкторских разработок, направленных на повышение безопасности персонала; </w:t>
      </w:r>
    </w:p>
    <w:p>
      <w:pPr>
        <w:pStyle w:val="ListParagraph"/>
        <w:numPr>
          <w:ilvl w:val="0"/>
          <w:numId w:val="4"/>
        </w:numPr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>вывод из эксплуатации экономически неэффективного, физически и морально устаревшего энергетического оборудования с введением необходимого объема новых современных мощностей, внедрения и использования передовых технологий, обеспечивающих повышенный уровень безопасности при осуществлении производственной деятельности;</w:t>
      </w:r>
    </w:p>
    <w:p>
      <w:pPr>
        <w:pStyle w:val="ListParagraph"/>
        <w:numPr>
          <w:ilvl w:val="0"/>
          <w:numId w:val="4"/>
        </w:numPr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>обеспечение качества ремонтов, проводимых на объектах Группы РусГидро, проведение своевременных ремонтов с целью повышения безопасности выполняемых работ, снижения отказов оборудования;</w:t>
      </w:r>
    </w:p>
    <w:p>
      <w:pPr>
        <w:pStyle w:val="ListParagraph"/>
        <w:numPr>
          <w:ilvl w:val="0"/>
          <w:numId w:val="4"/>
        </w:numPr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>обеспечение качества проектирования вновь вводимых объектов и оборудования, обеспечивающих безопасные условия труда, надежность работы оборудования;</w:t>
      </w:r>
    </w:p>
    <w:p>
      <w:pPr>
        <w:pStyle w:val="ListParagraph"/>
        <w:numPr>
          <w:ilvl w:val="0"/>
          <w:numId w:val="4"/>
        </w:numPr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>обеспечение качества отбора и выбора поставщиков/подрядчиков продукции, сырья и материалов, товаров, услуг, а также проводимых закупочных процедур, влияющих на безопасность персонала;</w:t>
      </w:r>
    </w:p>
    <w:p>
      <w:pPr>
        <w:pStyle w:val="ListParagraph"/>
        <w:numPr>
          <w:ilvl w:val="0"/>
          <w:numId w:val="4"/>
        </w:numPr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>обеспечение необходимыми организационными, финансовыми и материально-техническими ресурсами для реализации Политики;</w:t>
      </w:r>
    </w:p>
    <w:p>
      <w:pPr>
        <w:pStyle w:val="ListParagraph"/>
        <w:numPr>
          <w:ilvl w:val="0"/>
          <w:numId w:val="5"/>
        </w:numPr>
        <w:ind w:left="0" w:firstLine="709"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>совершенствование нормативной базы путем разработки локальных нормативных документов (актов) в целях повышения безопасности труда.</w:t>
      </w:r>
    </w:p>
    <w:p>
      <w:pPr>
        <w:pStyle w:val="ListParagraph"/>
        <w:spacing w:before="20" w:after="120"/>
        <w:ind w:left="709" w:hanging="0"/>
        <w:contextualSpacing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</w:r>
    </w:p>
    <w:p>
      <w:pPr>
        <w:pStyle w:val="ListParagraph"/>
        <w:spacing w:before="20" w:after="120"/>
        <w:ind w:left="709" w:hanging="0"/>
        <w:contextualSpacing/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tbl>
      <w:tblPr>
        <w:tblW w:w="93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4507"/>
        <w:gridCol w:w="4846"/>
      </w:tblGrid>
      <w:tr>
        <w:trPr/>
        <w:tc>
          <w:tcPr>
            <w:tcW w:w="4507" w:type="dxa"/>
            <w:tcBorders/>
          </w:tcPr>
          <w:p>
            <w:pPr>
              <w:pStyle w:val="Normal"/>
              <w:widowControl w:val="false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Заказчик:</w:t>
            </w:r>
          </w:p>
          <w:p>
            <w:pPr>
              <w:pStyle w:val="Normal"/>
              <w:widowControl w:val="false"/>
              <w:rPr>
                <w:bCs/>
                <w:spacing w:val="-11"/>
                <w:lang w:val="ru-RU"/>
              </w:rPr>
            </w:pPr>
            <w:r>
              <w:rPr>
                <w:bCs/>
                <w:spacing w:val="-11"/>
                <w:lang w:val="ru-RU"/>
              </w:rPr>
              <w:t xml:space="preserve"> </w:t>
            </w:r>
            <w:r>
              <w:rPr>
                <w:bCs/>
                <w:spacing w:val="-11"/>
                <w:lang w:val="ru-RU"/>
              </w:rPr>
              <w:t>Директор ЯТЭЦ</w:t>
            </w:r>
            <w:bookmarkStart w:id="1" w:name="_GoBack"/>
            <w:bookmarkEnd w:id="1"/>
          </w:p>
          <w:p>
            <w:pPr>
              <w:pStyle w:val="Normal"/>
              <w:widowControl w:val="false"/>
              <w:rPr>
                <w:lang w:val="ru-RU"/>
              </w:rPr>
            </w:pPr>
            <w:r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 xml:space="preserve">ПАО «Якутскэнерго» 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left" w:pos="708" w:leader="none"/>
              </w:tabs>
              <w:outlineLvl w:val="7"/>
              <w:rPr>
                <w:spacing w:val="-11"/>
                <w:lang w:val="ru-RU"/>
              </w:rPr>
            </w:pPr>
            <w:r>
              <w:rPr>
                <w:spacing w:val="-11"/>
                <w:lang w:val="ru-RU"/>
              </w:rPr>
              <w:t xml:space="preserve"> 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left" w:pos="708" w:leader="none"/>
              </w:tabs>
              <w:outlineLvl w:val="7"/>
              <w:rPr>
                <w:bCs/>
                <w:spacing w:val="-11"/>
                <w:lang w:val="ru-RU"/>
              </w:rPr>
            </w:pPr>
            <w:r>
              <w:rPr>
                <w:bCs/>
                <w:spacing w:val="-11"/>
                <w:lang w:val="ru-RU"/>
              </w:rPr>
              <w:t>_________________________    /                        /</w:t>
            </w:r>
          </w:p>
          <w:p>
            <w:pPr>
              <w:pStyle w:val="Normal"/>
              <w:widowControl w:val="false"/>
              <w:rPr>
                <w:bCs/>
                <w:lang w:val="ru-RU"/>
              </w:rPr>
            </w:pPr>
            <w:r>
              <w:rPr>
                <w:bCs/>
                <w:lang w:val="ru-RU"/>
              </w:rPr>
            </w:r>
          </w:p>
          <w:p>
            <w:pPr>
              <w:pStyle w:val="Normal"/>
              <w:widowControl w:val="false"/>
              <w:snapToGrid w:val="false"/>
              <w:rPr>
                <w:lang w:val="ru-RU"/>
              </w:rPr>
            </w:pPr>
            <w:r>
              <w:rPr>
                <w:bCs/>
                <w:lang w:val="ru-RU"/>
              </w:rPr>
              <w:t>«___»______________ 2026 г.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749" w:leader="none"/>
              </w:tabs>
              <w:spacing w:lineRule="auto" w:line="276" w:before="0" w:after="200"/>
              <w:rPr>
                <w:lang w:val="ru-RU"/>
              </w:rPr>
            </w:pPr>
            <w:r>
              <w:rPr>
                <w:lang w:val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749" w:leader="none"/>
              </w:tabs>
              <w:spacing w:lineRule="auto" w:line="276" w:before="0" w:after="200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>М.П.</w:t>
            </w:r>
          </w:p>
        </w:tc>
        <w:tc>
          <w:tcPr>
            <w:tcW w:w="4846" w:type="dxa"/>
            <w:tcBorders/>
          </w:tcPr>
          <w:p>
            <w:pPr>
              <w:pStyle w:val="Normal"/>
              <w:widowControl w:val="false"/>
              <w:ind w:hanging="17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</w:t>
            </w:r>
            <w:r>
              <w:rPr>
                <w:b/>
                <w:bCs/>
                <w:lang w:val="ru-RU"/>
              </w:rPr>
              <w:t>Исполнитель:</w:t>
            </w:r>
          </w:p>
          <w:p>
            <w:pPr>
              <w:pStyle w:val="Normal"/>
              <w:widowControl w:val="false"/>
              <w:ind w:hanging="27"/>
              <w:rPr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</w:t>
            </w:r>
          </w:p>
          <w:p>
            <w:pPr>
              <w:pStyle w:val="Normal"/>
              <w:widowControl w:val="false"/>
              <w:ind w:hanging="27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       </w:t>
            </w:r>
          </w:p>
          <w:p>
            <w:pPr>
              <w:pStyle w:val="Normal"/>
              <w:widowControl w:val="false"/>
              <w:ind w:hanging="27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                </w:t>
            </w:r>
          </w:p>
          <w:p>
            <w:pPr>
              <w:pStyle w:val="Normal"/>
              <w:widowControl w:val="false"/>
              <w:ind w:hanging="27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        </w:t>
            </w:r>
            <w:r>
              <w:rPr>
                <w:bCs/>
                <w:lang w:val="ru-RU"/>
              </w:rPr>
              <w:t>__________________ /                           /</w:t>
            </w:r>
          </w:p>
          <w:p>
            <w:pPr>
              <w:pStyle w:val="Normal"/>
              <w:widowControl w:val="false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 </w:t>
            </w:r>
          </w:p>
          <w:p>
            <w:pPr>
              <w:pStyle w:val="Normal"/>
              <w:widowControl w:val="false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       </w:t>
            </w:r>
            <w:r>
              <w:rPr>
                <w:bCs/>
                <w:lang w:val="ru-RU"/>
              </w:rPr>
              <w:t>«___»_______________2026 г.</w:t>
            </w:r>
          </w:p>
          <w:p>
            <w:pPr>
              <w:pStyle w:val="Normal"/>
              <w:widowControl w:val="false"/>
              <w:rPr>
                <w:bCs/>
                <w:lang w:val="ru-RU"/>
              </w:rPr>
            </w:pPr>
            <w:r>
              <w:rPr>
                <w:bCs/>
                <w:lang w:val="ru-RU"/>
              </w:rPr>
            </w:r>
          </w:p>
          <w:p>
            <w:pPr>
              <w:pStyle w:val="Normal"/>
              <w:widowControl w:val="false"/>
              <w:rPr>
                <w:bCs/>
                <w:lang w:val="ru-RU"/>
              </w:rPr>
            </w:pPr>
            <w:r>
              <w:rPr>
                <w:bCs/>
                <w:lang w:val="ru-RU"/>
              </w:rPr>
            </w:r>
          </w:p>
          <w:p>
            <w:pPr>
              <w:pStyle w:val="Normal"/>
              <w:widowControl w:val="false"/>
              <w:rPr>
                <w:vertAlign w:val="subscript"/>
                <w:lang w:val="ru-RU"/>
              </w:rPr>
            </w:pPr>
            <w:r>
              <w:rPr>
                <w:lang w:val="ru-RU"/>
              </w:rPr>
              <w:t xml:space="preserve">          </w:t>
            </w:r>
            <w:r>
              <w:rPr>
                <w:lang w:val="ru-RU"/>
              </w:rPr>
              <w:t>М.П.</w:t>
            </w:r>
          </w:p>
        </w:tc>
      </w:tr>
    </w:tbl>
    <w:p>
      <w:pPr>
        <w:pStyle w:val="Normal"/>
        <w:rPr>
          <w:lang w:val="ru-RU"/>
        </w:rPr>
      </w:pPr>
      <w:r>
        <w:rPr/>
      </w:r>
    </w:p>
    <w:sectPr>
      <w:type w:val="nextPage"/>
      <w:pgSz w:w="11906" w:h="16838"/>
      <w:pgMar w:left="1418" w:right="1134" w:gutter="0" w:header="0" w:top="851" w:footer="0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1484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GB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Абзац списка Знак"/>
    <w:link w:val="ListParagraph"/>
    <w:uiPriority w:val="34"/>
    <w:qFormat/>
    <w:locked/>
    <w:rsid w:val="0001484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ListParagraph">
    <w:name w:val="List Paragraph"/>
    <w:basedOn w:val="Normal"/>
    <w:link w:val="Style9"/>
    <w:uiPriority w:val="34"/>
    <w:qFormat/>
    <w:rsid w:val="00014841"/>
    <w:pPr>
      <w:spacing w:before="0" w:after="0"/>
      <w:ind w:left="720" w:hanging="0"/>
      <w:contextualSpacing/>
    </w:pPr>
    <w:rPr>
      <w:lang w:val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AlterOffice/3.4.0.9$Linux_X86_64 LibreOffice_project/b8daf9e823b1a5463a2f48435ddc2e8696e7d4fc</Application>
  <AppVersion>15.0000</AppVersion>
  <Pages>3</Pages>
  <Words>920</Words>
  <Characters>7020</Characters>
  <CharactersWithSpaces>8187</CharactersWithSpaces>
  <Paragraphs>74</Paragraphs>
  <Company>ПАО "Якутскэнерго"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2026-03-22T08:01:00Z</dcterms:created>
  <dc:creator>Борисова Ирина Николаевна</dc:creator>
  <dc:description/>
  <dc:language>ru-RU</dc:language>
  <cp:lastModifiedBy>kononovana</cp:lastModifiedBy>
  <dcterms:modified xsi:type="dcterms:W3CDTF">2026-05-20T14:52:08Z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